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r>
        <w:rPr>
          <w:color w:val="484329"/>
          <w:sz w:val="28"/>
          <w:szCs w:val="28"/>
        </w:rPr>
        <w:drawing>
          <wp:anchor distT="0" distB="0" distL="114300" distR="114300" simplePos="0" relativeHeight="251661312" behindDoc="0" locked="0" layoutInCell="1" allowOverlap="1">
            <wp:simplePos x="0" y="0"/>
            <wp:positionH relativeFrom="column">
              <wp:posOffset>-300990</wp:posOffset>
            </wp:positionH>
            <wp:positionV relativeFrom="paragraph">
              <wp:posOffset>235585</wp:posOffset>
            </wp:positionV>
            <wp:extent cx="1095375" cy="247650"/>
            <wp:effectExtent l="0" t="0" r="9525" b="0"/>
            <wp:wrapSquare wrapText="bothSides"/>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6" cstate="print"/>
                    <a:stretch>
                      <a:fillRect/>
                    </a:stretch>
                  </pic:blipFill>
                  <pic:spPr>
                    <a:xfrm>
                      <a:off x="0" y="0"/>
                      <a:ext cx="1095375" cy="247650"/>
                    </a:xfrm>
                    <a:prstGeom prst="rect">
                      <a:avLst/>
                    </a:prstGeom>
                    <a:noFill/>
                    <a:ln w="9525">
                      <a:noFill/>
                    </a:ln>
                  </pic:spPr>
                </pic:pic>
              </a:graphicData>
            </a:graphic>
          </wp:anchor>
        </w:drawing>
      </w:r>
    </w:p>
    <w:tbl>
      <w:tblPr>
        <w:tblStyle w:val="11"/>
        <w:tblpPr w:leftFromText="187" w:rightFromText="187" w:vertAnchor="page" w:horzAnchor="page" w:tblpX="1144" w:tblpY="11676"/>
        <w:tblW w:w="6142" w:type="dxa"/>
        <w:tblInd w:w="0" w:type="dxa"/>
        <w:tblLayout w:type="fixed"/>
        <w:tblCellMar>
          <w:top w:w="0" w:type="dxa"/>
          <w:left w:w="108" w:type="dxa"/>
          <w:bottom w:w="0" w:type="dxa"/>
          <w:right w:w="108" w:type="dxa"/>
        </w:tblCellMar>
      </w:tblPr>
      <w:tblGrid>
        <w:gridCol w:w="6142"/>
      </w:tblGrid>
      <w:tr>
        <w:tblPrEx>
          <w:tblLayout w:type="fixed"/>
          <w:tblCellMar>
            <w:top w:w="0" w:type="dxa"/>
            <w:left w:w="108" w:type="dxa"/>
            <w:bottom w:w="0" w:type="dxa"/>
            <w:right w:w="108" w:type="dxa"/>
          </w:tblCellMar>
        </w:tblPrEx>
        <w:tc>
          <w:tcPr>
            <w:tcW w:w="6142" w:type="dxa"/>
          </w:tcPr>
          <w:p>
            <w:pPr>
              <w:pStyle w:val="14"/>
              <w:rPr>
                <w:rFonts w:ascii="Cambria" w:hAnsi="Cambria"/>
                <w:b/>
                <w:bCs/>
                <w:color w:val="365F91"/>
                <w:sz w:val="48"/>
                <w:szCs w:val="48"/>
                <w:lang w:bidi="en-US"/>
              </w:rPr>
            </w:pPr>
            <w:r>
              <w:rPr>
                <w:rFonts w:hint="eastAsia" w:ascii="Cambria" w:hAnsi="Cambria"/>
                <w:b/>
                <w:bCs/>
                <w:sz w:val="48"/>
                <w:szCs w:val="48"/>
                <w:lang w:eastAsia="zh-CN" w:bidi="en-US"/>
              </w:rPr>
              <w:t>睢县</w:t>
            </w:r>
            <w:r>
              <w:rPr>
                <w:rFonts w:hint="eastAsia" w:ascii="Cambria" w:hAnsi="Cambria"/>
                <w:b/>
                <w:bCs/>
                <w:sz w:val="48"/>
                <w:szCs w:val="48"/>
                <w:lang w:bidi="en-US"/>
              </w:rPr>
              <w:t>公共资源系统操作手册</w:t>
            </w:r>
          </w:p>
        </w:tc>
      </w:tr>
      <w:tr>
        <w:tblPrEx>
          <w:tblLayout w:type="fixed"/>
          <w:tblCellMar>
            <w:top w:w="0" w:type="dxa"/>
            <w:left w:w="108" w:type="dxa"/>
            <w:bottom w:w="0" w:type="dxa"/>
            <w:right w:w="108" w:type="dxa"/>
          </w:tblCellMar>
        </w:tblPrEx>
        <w:tc>
          <w:tcPr>
            <w:tcW w:w="6142" w:type="dxa"/>
          </w:tcPr>
          <w:p>
            <w:pPr>
              <w:pStyle w:val="14"/>
              <w:rPr>
                <w:color w:val="484329"/>
                <w:sz w:val="28"/>
                <w:szCs w:val="28"/>
                <w:lang w:bidi="en-US"/>
              </w:rPr>
            </w:pPr>
            <w:r>
              <w:rPr>
                <w:rFonts w:hint="eastAsia"/>
                <w:sz w:val="28"/>
                <w:szCs w:val="28"/>
                <w:lang w:bidi="en-US"/>
              </w:rPr>
              <w:t>【投标人报名 使用文档】</w:t>
            </w:r>
          </w:p>
        </w:tc>
      </w:tr>
      <w:tr>
        <w:tblPrEx>
          <w:tblLayout w:type="fixed"/>
        </w:tblPrEx>
        <w:tc>
          <w:tcPr>
            <w:tcW w:w="6142" w:type="dxa"/>
          </w:tcPr>
          <w:p>
            <w:pPr>
              <w:pStyle w:val="14"/>
              <w:rPr>
                <w:color w:val="484329"/>
                <w:sz w:val="28"/>
                <w:szCs w:val="28"/>
                <w:lang w:bidi="en-US"/>
              </w:rPr>
            </w:pPr>
          </w:p>
        </w:tc>
      </w:tr>
      <w:tr>
        <w:tblPrEx>
          <w:tblLayout w:type="fixed"/>
          <w:tblCellMar>
            <w:top w:w="0" w:type="dxa"/>
            <w:left w:w="108" w:type="dxa"/>
            <w:bottom w:w="0" w:type="dxa"/>
            <w:right w:w="108" w:type="dxa"/>
          </w:tblCellMar>
        </w:tblPrEx>
        <w:tc>
          <w:tcPr>
            <w:tcW w:w="6142" w:type="dxa"/>
          </w:tcPr>
          <w:p>
            <w:pPr>
              <w:pStyle w:val="14"/>
              <w:rPr>
                <w:sz w:val="22"/>
                <w:lang w:eastAsia="en-US" w:bidi="en-US"/>
              </w:rPr>
            </w:pPr>
            <w:r>
              <w:rPr>
                <w:sz w:val="22"/>
                <w:lang w:val="zh-CN" w:eastAsia="en-US" w:bidi="en-US"/>
              </w:rPr>
              <w:t>[</w:t>
            </w:r>
            <w:r>
              <w:rPr>
                <w:rFonts w:hint="eastAsia"/>
                <w:sz w:val="22"/>
                <w:lang w:val="zh-CN" w:bidi="en-US"/>
              </w:rPr>
              <w:t>此文档主要描述投标人报名使用交易系统。</w:t>
            </w:r>
            <w:r>
              <w:rPr>
                <w:sz w:val="22"/>
                <w:lang w:val="zh-CN" w:eastAsia="en-US" w:bidi="en-US"/>
              </w:rPr>
              <w:t>]</w:t>
            </w:r>
          </w:p>
        </w:tc>
      </w:tr>
      <w:tr>
        <w:tblPrEx>
          <w:tblLayout w:type="fixed"/>
          <w:tblCellMar>
            <w:top w:w="0" w:type="dxa"/>
            <w:left w:w="108" w:type="dxa"/>
            <w:bottom w:w="0" w:type="dxa"/>
            <w:right w:w="108" w:type="dxa"/>
          </w:tblCellMar>
        </w:tblPrEx>
        <w:tc>
          <w:tcPr>
            <w:tcW w:w="6142" w:type="dxa"/>
          </w:tcPr>
          <w:p>
            <w:pPr>
              <w:pStyle w:val="14"/>
              <w:rPr>
                <w:sz w:val="22"/>
                <w:lang w:eastAsia="en-US" w:bidi="en-US"/>
              </w:rPr>
            </w:pPr>
          </w:p>
        </w:tc>
      </w:tr>
      <w:tr>
        <w:tblPrEx>
          <w:tblLayout w:type="fixed"/>
          <w:tblCellMar>
            <w:top w:w="0" w:type="dxa"/>
            <w:left w:w="108" w:type="dxa"/>
            <w:bottom w:w="0" w:type="dxa"/>
            <w:right w:w="108" w:type="dxa"/>
          </w:tblCellMar>
        </w:tblPrEx>
        <w:tc>
          <w:tcPr>
            <w:tcW w:w="6142" w:type="dxa"/>
          </w:tcPr>
          <w:p>
            <w:pPr>
              <w:pStyle w:val="14"/>
              <w:rPr>
                <w:b/>
                <w:bCs/>
                <w:sz w:val="22"/>
                <w:lang w:bidi="en-US"/>
              </w:rPr>
            </w:pPr>
            <w:r>
              <w:rPr>
                <w:rFonts w:hint="eastAsia"/>
                <w:b/>
                <w:bCs/>
                <w:sz w:val="22"/>
                <w:lang w:bidi="en-US"/>
              </w:rPr>
              <w:t>郑州信源信息技术股份有限公司</w:t>
            </w:r>
          </w:p>
        </w:tc>
      </w:tr>
      <w:tr>
        <w:tblPrEx>
          <w:tblLayout w:type="fixed"/>
          <w:tblCellMar>
            <w:top w:w="0" w:type="dxa"/>
            <w:left w:w="108" w:type="dxa"/>
            <w:bottom w:w="0" w:type="dxa"/>
            <w:right w:w="108" w:type="dxa"/>
          </w:tblCellMar>
        </w:tblPrEx>
        <w:tc>
          <w:tcPr>
            <w:tcW w:w="6142" w:type="dxa"/>
          </w:tcPr>
          <w:p>
            <w:pPr>
              <w:pStyle w:val="14"/>
              <w:rPr>
                <w:b/>
                <w:bCs/>
                <w:sz w:val="22"/>
                <w:lang w:bidi="en-US"/>
              </w:rPr>
            </w:pPr>
          </w:p>
        </w:tc>
      </w:tr>
      <w:tr>
        <w:tblPrEx>
          <w:tblLayout w:type="fixed"/>
          <w:tblCellMar>
            <w:top w:w="0" w:type="dxa"/>
            <w:left w:w="108" w:type="dxa"/>
            <w:bottom w:w="0" w:type="dxa"/>
            <w:right w:w="108" w:type="dxa"/>
          </w:tblCellMar>
        </w:tblPrEx>
        <w:tc>
          <w:tcPr>
            <w:tcW w:w="6142" w:type="dxa"/>
          </w:tcPr>
          <w:p>
            <w:pPr>
              <w:pStyle w:val="14"/>
              <w:rPr>
                <w:b/>
                <w:bCs/>
                <w:sz w:val="22"/>
                <w:lang w:bidi="en-US"/>
              </w:rPr>
            </w:pPr>
          </w:p>
        </w:tc>
      </w:tr>
    </w:tbl>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306"/>
        </w:tabs>
        <w:rPr>
          <w:rFonts w:ascii="微软雅黑" w:hAnsi="微软雅黑" w:eastAsia="微软雅黑" w:cs="微软雅黑"/>
          <w:color w:val="000000" w:themeColor="text1"/>
          <w:sz w:val="36"/>
          <w:szCs w:val="36"/>
        </w:rPr>
      </w:pPr>
    </w:p>
    <w:p>
      <w:pPr>
        <w:pStyle w:val="7"/>
        <w:tabs>
          <w:tab w:val="right" w:leader="dot" w:pos="8296"/>
        </w:tabs>
        <w:rPr>
          <w:szCs w:val="22"/>
        </w:rPr>
      </w:pPr>
      <w:r>
        <w:rPr>
          <w:rFonts w:hint="eastAsia" w:ascii="微软雅黑" w:hAnsi="微软雅黑" w:eastAsia="微软雅黑" w:cs="微软雅黑"/>
          <w:color w:val="000000" w:themeColor="text1"/>
          <w:sz w:val="36"/>
          <w:szCs w:val="36"/>
        </w:rPr>
        <w:fldChar w:fldCharType="begin"/>
      </w:r>
      <w:r>
        <w:rPr>
          <w:rFonts w:hint="eastAsia" w:ascii="微软雅黑" w:hAnsi="微软雅黑" w:eastAsia="微软雅黑" w:cs="微软雅黑"/>
          <w:color w:val="000000" w:themeColor="text1"/>
          <w:sz w:val="36"/>
          <w:szCs w:val="36"/>
        </w:rPr>
        <w:instrText xml:space="preserve">TOC \o "1-3" \t "" \h \z \u </w:instrText>
      </w:r>
      <w:r>
        <w:rPr>
          <w:rFonts w:hint="eastAsia" w:ascii="微软雅黑" w:hAnsi="微软雅黑" w:eastAsia="微软雅黑" w:cs="微软雅黑"/>
          <w:color w:val="000000" w:themeColor="text1"/>
          <w:sz w:val="36"/>
          <w:szCs w:val="36"/>
        </w:rPr>
        <w:fldChar w:fldCharType="separate"/>
      </w:r>
      <w:r>
        <w:fldChar w:fldCharType="begin"/>
      </w:r>
      <w:r>
        <w:instrText xml:space="preserve"> HYPERLINK \l "_Toc491957309" </w:instrText>
      </w:r>
      <w:r>
        <w:fldChar w:fldCharType="separate"/>
      </w:r>
      <w:r>
        <w:rPr>
          <w:rFonts w:hint="eastAsia"/>
          <w:lang w:eastAsia="zh-CN"/>
        </w:rPr>
        <w:t>睢县</w:t>
      </w:r>
      <w:bookmarkStart w:id="4" w:name="_GoBack"/>
      <w:bookmarkEnd w:id="4"/>
      <w:r>
        <w:rPr>
          <w:rStyle w:val="10"/>
          <w:rFonts w:hint="eastAsia" w:ascii="微软雅黑" w:hAnsi="微软雅黑" w:eastAsia="微软雅黑" w:cs="微软雅黑"/>
        </w:rPr>
        <w:t>公共资源交易系统使用文档</w:t>
      </w:r>
      <w:r>
        <w:tab/>
      </w:r>
      <w:r>
        <w:fldChar w:fldCharType="begin"/>
      </w:r>
      <w:r>
        <w:instrText xml:space="preserve"> PAGEREF _Toc491957309 \h </w:instrText>
      </w:r>
      <w:r>
        <w:fldChar w:fldCharType="separate"/>
      </w:r>
      <w:r>
        <w:t>3</w:t>
      </w:r>
      <w:r>
        <w:fldChar w:fldCharType="end"/>
      </w:r>
      <w:r>
        <w:fldChar w:fldCharType="end"/>
      </w:r>
    </w:p>
    <w:p>
      <w:pPr>
        <w:pStyle w:val="8"/>
        <w:tabs>
          <w:tab w:val="right" w:leader="dot" w:pos="8296"/>
        </w:tabs>
        <w:rPr>
          <w:szCs w:val="22"/>
        </w:rPr>
      </w:pPr>
      <w:r>
        <w:fldChar w:fldCharType="begin"/>
      </w:r>
      <w:r>
        <w:instrText xml:space="preserve"> HYPERLINK \l "_Toc491957310" </w:instrText>
      </w:r>
      <w:r>
        <w:fldChar w:fldCharType="separate"/>
      </w:r>
      <w:r>
        <w:rPr>
          <w:rStyle w:val="10"/>
          <w:rFonts w:hint="eastAsia" w:ascii="微软雅黑" w:hAnsi="微软雅黑" w:eastAsia="微软雅黑" w:cs="微软雅黑"/>
        </w:rPr>
        <w:t>业务受理</w:t>
      </w:r>
      <w:r>
        <w:tab/>
      </w:r>
      <w:r>
        <w:fldChar w:fldCharType="begin"/>
      </w:r>
      <w:r>
        <w:instrText xml:space="preserve"> PAGEREF _Toc491957310 \h </w:instrText>
      </w:r>
      <w:r>
        <w:fldChar w:fldCharType="separate"/>
      </w:r>
      <w:r>
        <w:t>3</w:t>
      </w:r>
      <w:r>
        <w:fldChar w:fldCharType="end"/>
      </w:r>
      <w:r>
        <w:fldChar w:fldCharType="end"/>
      </w:r>
    </w:p>
    <w:p>
      <w:pPr>
        <w:pStyle w:val="8"/>
        <w:tabs>
          <w:tab w:val="right" w:leader="dot" w:pos="8296"/>
        </w:tabs>
        <w:rPr>
          <w:szCs w:val="22"/>
        </w:rPr>
      </w:pPr>
      <w:r>
        <w:fldChar w:fldCharType="begin"/>
      </w:r>
      <w:r>
        <w:instrText xml:space="preserve"> HYPERLINK \l "_Toc491957311" </w:instrText>
      </w:r>
      <w:r>
        <w:fldChar w:fldCharType="separate"/>
      </w:r>
      <w:r>
        <w:rPr>
          <w:rStyle w:val="10"/>
          <w:rFonts w:hint="eastAsia" w:ascii="微软雅黑" w:hAnsi="微软雅黑" w:eastAsia="微软雅黑" w:cs="微软雅黑"/>
        </w:rPr>
        <w:t>提示：各流程之间相似</w:t>
      </w:r>
      <w:r>
        <w:tab/>
      </w:r>
      <w:r>
        <w:fldChar w:fldCharType="begin"/>
      </w:r>
      <w:r>
        <w:instrText xml:space="preserve"> PAGEREF _Toc491957311 \h </w:instrText>
      </w:r>
      <w:r>
        <w:fldChar w:fldCharType="separate"/>
      </w:r>
      <w:r>
        <w:t>3</w:t>
      </w:r>
      <w:r>
        <w:fldChar w:fldCharType="end"/>
      </w:r>
      <w:r>
        <w:fldChar w:fldCharType="end"/>
      </w:r>
    </w:p>
    <w:p>
      <w:pPr>
        <w:pStyle w:val="3"/>
        <w:tabs>
          <w:tab w:val="right" w:leader="dot" w:pos="8296"/>
        </w:tabs>
        <w:rPr>
          <w:szCs w:val="22"/>
        </w:rPr>
      </w:pPr>
      <w:r>
        <w:fldChar w:fldCharType="begin"/>
      </w:r>
      <w:r>
        <w:instrText xml:space="preserve"> HYPERLINK \l "_Toc491957312" </w:instrText>
      </w:r>
      <w:r>
        <w:fldChar w:fldCharType="separate"/>
      </w:r>
      <w:r>
        <w:rPr>
          <w:rStyle w:val="10"/>
          <w:rFonts w:ascii="微软雅黑" w:hAnsi="微软雅黑" w:eastAsia="微软雅黑" w:cs="微软雅黑"/>
        </w:rPr>
        <w:t>1</w:t>
      </w:r>
      <w:r>
        <w:rPr>
          <w:rStyle w:val="10"/>
          <w:rFonts w:hint="eastAsia" w:ascii="微软雅黑" w:hAnsi="微软雅黑" w:eastAsia="微软雅黑" w:cs="微软雅黑"/>
        </w:rPr>
        <w:t>：代理机构登录账号，准备进行进场受理工作如图（</w:t>
      </w:r>
      <w:r>
        <w:rPr>
          <w:rStyle w:val="10"/>
          <w:rFonts w:ascii="微软雅黑" w:hAnsi="微软雅黑" w:eastAsia="微软雅黑" w:cs="微软雅黑"/>
        </w:rPr>
        <w:t>1-1</w:t>
      </w:r>
      <w:r>
        <w:rPr>
          <w:rStyle w:val="10"/>
          <w:rFonts w:hint="eastAsia" w:ascii="微软雅黑" w:hAnsi="微软雅黑" w:eastAsia="微软雅黑" w:cs="微软雅黑"/>
        </w:rPr>
        <w:t>）</w:t>
      </w:r>
      <w:r>
        <w:tab/>
      </w:r>
      <w:r>
        <w:fldChar w:fldCharType="begin"/>
      </w:r>
      <w:r>
        <w:instrText xml:space="preserve"> PAGEREF _Toc491957312 \h </w:instrText>
      </w:r>
      <w:r>
        <w:fldChar w:fldCharType="separate"/>
      </w:r>
      <w:r>
        <w:t>3</w:t>
      </w:r>
      <w:r>
        <w:fldChar w:fldCharType="end"/>
      </w:r>
      <w:r>
        <w:fldChar w:fldCharType="end"/>
      </w:r>
    </w:p>
    <w:p>
      <w:pPr>
        <w:pStyle w:val="3"/>
        <w:tabs>
          <w:tab w:val="right" w:leader="dot" w:pos="8296"/>
        </w:tabs>
        <w:rPr>
          <w:szCs w:val="22"/>
        </w:rPr>
      </w:pPr>
      <w:r>
        <w:fldChar w:fldCharType="begin"/>
      </w:r>
      <w:r>
        <w:instrText xml:space="preserve"> HYPERLINK \l "_Toc491957313" </w:instrText>
      </w:r>
      <w:r>
        <w:fldChar w:fldCharType="separate"/>
      </w:r>
      <w:r>
        <w:rPr>
          <w:rStyle w:val="10"/>
          <w:rFonts w:ascii="微软雅黑" w:hAnsi="微软雅黑" w:eastAsia="微软雅黑" w:cs="微软雅黑"/>
        </w:rPr>
        <w:t>2</w:t>
      </w:r>
      <w:r>
        <w:rPr>
          <w:rStyle w:val="10"/>
          <w:rFonts w:hint="eastAsia" w:ascii="微软雅黑" w:hAnsi="微软雅黑" w:eastAsia="微软雅黑" w:cs="微软雅黑"/>
        </w:rPr>
        <w:t>：开始进场受理业务</w:t>
      </w:r>
      <w:r>
        <w:tab/>
      </w:r>
      <w:r>
        <w:fldChar w:fldCharType="begin"/>
      </w:r>
      <w:r>
        <w:instrText xml:space="preserve"> PAGEREF _Toc491957313 \h </w:instrText>
      </w:r>
      <w:r>
        <w:fldChar w:fldCharType="separate"/>
      </w:r>
      <w:r>
        <w:t>3</w:t>
      </w:r>
      <w:r>
        <w:fldChar w:fldCharType="end"/>
      </w:r>
      <w:r>
        <w:fldChar w:fldCharType="end"/>
      </w:r>
    </w:p>
    <w:p>
      <w:r>
        <w:rPr>
          <w:rFonts w:hint="eastAsia"/>
        </w:rPr>
        <w:fldChar w:fldCharType="end"/>
      </w:r>
    </w:p>
    <w:p>
      <w:pPr>
        <w:jc w:val="center"/>
        <w:outlineLvl w:val="0"/>
        <w:rPr>
          <w:rFonts w:ascii="微软雅黑" w:hAnsi="微软雅黑" w:eastAsia="微软雅黑" w:cs="微软雅黑"/>
          <w:color w:val="000000" w:themeColor="text1"/>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jc w:val="center"/>
        <w:outlineLvl w:val="0"/>
        <w:rPr>
          <w:rFonts w:ascii="微软雅黑" w:hAnsi="微软雅黑" w:eastAsia="微软雅黑" w:cs="微软雅黑"/>
          <w:color w:val="000000" w:themeColor="text1"/>
          <w:sz w:val="36"/>
          <w:szCs w:val="36"/>
        </w:rPr>
      </w:pPr>
      <w:bookmarkStart w:id="0" w:name="_Toc491957309"/>
      <w:r>
        <w:rPr>
          <w:rFonts w:hint="eastAsia" w:ascii="微软雅黑" w:hAnsi="微软雅黑" w:eastAsia="微软雅黑" w:cs="微软雅黑"/>
          <w:color w:val="000000" w:themeColor="text1"/>
          <w:sz w:val="36"/>
          <w:szCs w:val="36"/>
        </w:rPr>
        <w:t>睢县公共资源交易系统使用文档</w:t>
      </w:r>
      <w:bookmarkEnd w:id="0"/>
    </w:p>
    <w:p>
      <w:pPr>
        <w:ind w:firstLine="210" w:firstLineChars="100"/>
        <w:jc w:val="left"/>
        <w:outlineLvl w:val="2"/>
        <w:rPr>
          <w:rFonts w:ascii="微软雅黑" w:hAnsi="微软雅黑" w:eastAsia="微软雅黑" w:cs="微软雅黑"/>
          <w:szCs w:val="21"/>
        </w:rPr>
      </w:pPr>
      <w:bookmarkStart w:id="1" w:name="_Toc491957311"/>
      <w:r>
        <w:rPr>
          <w:rFonts w:hint="eastAsia" w:ascii="微软雅黑" w:hAnsi="微软雅黑" w:eastAsia="微软雅黑" w:cs="微软雅黑"/>
          <w:szCs w:val="21"/>
        </w:rPr>
        <w:t>注意：请使用IE11浏览器（其他浏览器会造成未知错误影响，请勿使用），安装office2007或者更高版本（其他办公文档工具不可以），设置浏览器，添加可信任站点，在IE11设置里面选internet选项打开，在Internet选项卡里面找到安全选项，去掉下面启用保护模式前面的对勾，选择旁边的自定义级别，在自定义级别选型卡里面下拉，找到ActiveX控件和插件，将他们全部设置为启用状态，然后保存，应用重启浏览器即可。（以上内容如果不设置或者不符合标准将会影响公告，文件等内容编辑查看，其他位置错误发生）具体如图所示</w:t>
      </w:r>
    </w:p>
    <w:p>
      <w:pPr>
        <w:jc w:val="left"/>
        <w:outlineLvl w:val="1"/>
        <w:rPr>
          <w:rFonts w:ascii="微软雅黑" w:hAnsi="微软雅黑" w:eastAsia="微软雅黑" w:cs="微软雅黑"/>
          <w:color w:val="000000" w:themeColor="text1"/>
          <w:sz w:val="24"/>
        </w:rPr>
      </w:pPr>
      <w:r>
        <w:rPr>
          <w:rFonts w:hint="eastAsia" w:ascii="微软雅黑" w:hAnsi="微软雅黑" w:eastAsia="微软雅黑" w:cs="微软雅黑"/>
          <w:color w:val="000000" w:themeColor="text1"/>
          <w:sz w:val="24"/>
        </w:rPr>
        <w:drawing>
          <wp:inline distT="0" distB="0" distL="0" distR="0">
            <wp:extent cx="5274310" cy="29654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274310" cy="2965496"/>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r>
        <w:rPr>
          <w:rFonts w:ascii="微软雅黑" w:hAnsi="微软雅黑" w:eastAsia="微软雅黑" w:cs="微软雅黑"/>
          <w:color w:val="000000" w:themeColor="text1"/>
          <w:sz w:val="24"/>
        </w:rPr>
        <w:drawing>
          <wp:inline distT="0" distB="0" distL="0" distR="0">
            <wp:extent cx="5274310" cy="284162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r>
        <w:rPr>
          <w:rFonts w:ascii="微软雅黑" w:hAnsi="微软雅黑" w:eastAsia="微软雅黑" w:cs="微软雅黑"/>
          <w:color w:val="000000" w:themeColor="text1"/>
          <w:sz w:val="24"/>
        </w:rPr>
        <w:drawing>
          <wp:inline distT="0" distB="0" distL="0" distR="0">
            <wp:extent cx="5274310" cy="2841625"/>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9"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r>
        <w:rPr>
          <w:rFonts w:hint="eastAsia" w:ascii="微软雅黑" w:hAnsi="微软雅黑" w:eastAsia="微软雅黑" w:cs="微软雅黑"/>
          <w:color w:val="000000" w:themeColor="text1"/>
          <w:sz w:val="24"/>
        </w:rPr>
        <w:drawing>
          <wp:inline distT="0" distB="0" distL="0" distR="0">
            <wp:extent cx="5274310" cy="284162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r>
        <w:rPr>
          <w:rFonts w:hint="eastAsia" w:ascii="微软雅黑" w:hAnsi="微软雅黑" w:eastAsia="微软雅黑" w:cs="微软雅黑"/>
          <w:color w:val="000000" w:themeColor="text1"/>
          <w:sz w:val="24"/>
        </w:rPr>
        <w:drawing>
          <wp:inline distT="0" distB="0" distL="0" distR="0">
            <wp:extent cx="5274310" cy="284162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r>
        <w:rPr>
          <w:rFonts w:hint="eastAsia" w:ascii="微软雅黑" w:hAnsi="微软雅黑" w:eastAsia="微软雅黑" w:cs="微软雅黑"/>
          <w:color w:val="000000" w:themeColor="text1"/>
          <w:sz w:val="24"/>
        </w:rPr>
        <w:drawing>
          <wp:inline distT="0" distB="0" distL="0" distR="0">
            <wp:extent cx="5274310" cy="284162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left"/>
        <w:outlineLvl w:val="1"/>
        <w:rPr>
          <w:rFonts w:ascii="微软雅黑" w:hAnsi="微软雅黑" w:eastAsia="微软雅黑" w:cs="微软雅黑"/>
          <w:color w:val="000000" w:themeColor="text1"/>
          <w:sz w:val="24"/>
        </w:rPr>
      </w:pPr>
    </w:p>
    <w:bookmarkEnd w:id="1"/>
    <w:p>
      <w:pPr>
        <w:jc w:val="left"/>
        <w:outlineLvl w:val="1"/>
        <w:rPr>
          <w:rFonts w:ascii="微软雅黑" w:hAnsi="微软雅黑" w:eastAsia="微软雅黑" w:cs="微软雅黑"/>
          <w:color w:val="000000" w:themeColor="text1"/>
          <w:sz w:val="24"/>
        </w:rPr>
      </w:pPr>
      <w:r>
        <w:rPr>
          <w:rFonts w:hint="eastAsia" w:ascii="微软雅黑" w:hAnsi="微软雅黑" w:eastAsia="微软雅黑" w:cs="微软雅黑"/>
          <w:color w:val="000000" w:themeColor="text1"/>
          <w:sz w:val="24"/>
        </w:rPr>
        <w:t>投标人报名任何项目报名流程都一样</w:t>
      </w:r>
    </w:p>
    <w:p>
      <w:pPr>
        <w:ind w:firstLine="210" w:firstLineChars="100"/>
        <w:jc w:val="left"/>
        <w:outlineLvl w:val="2"/>
        <w:rPr>
          <w:rFonts w:ascii="微软雅黑" w:hAnsi="微软雅黑" w:eastAsia="微软雅黑" w:cs="微软雅黑"/>
          <w:szCs w:val="21"/>
        </w:rPr>
      </w:pPr>
      <w:bookmarkStart w:id="2" w:name="_Toc491957312"/>
      <w:r>
        <w:rPr>
          <w:rFonts w:hint="eastAsia" w:ascii="微软雅黑" w:hAnsi="微软雅黑" w:eastAsia="微软雅黑" w:cs="微软雅黑"/>
          <w:szCs w:val="21"/>
        </w:rPr>
        <w:t>1：投标人使用北京CA锁进行登录系统，如果出现密码错误联系北京CA方，在你登录前确认是不是已经在睢县公共资源交易中心注册系统账号并且已经绑定了北京CA锁，使用公司锁报名，其他锁暂时不用，用的时候中心会通知。（重要的事情说三次：使用IE11浏览器，使用IE11浏览器，使用IE11浏览器，使用前按照上面的配置，不然会出现未知问题）图（1-1）</w:t>
      </w:r>
      <w:bookmarkEnd w:id="2"/>
    </w:p>
    <w:p>
      <w:pPr>
        <w:jc w:val="left"/>
      </w:pPr>
      <w:r>
        <w:drawing>
          <wp:inline distT="0" distB="0" distL="0" distR="0">
            <wp:extent cx="5274310" cy="2841625"/>
            <wp:effectExtent l="19050" t="0" r="254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13"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（图1-1）</w:t>
      </w:r>
    </w:p>
    <w:p>
      <w:pPr>
        <w:ind w:firstLine="210" w:firstLineChars="100"/>
        <w:jc w:val="left"/>
        <w:outlineLvl w:val="2"/>
        <w:rPr>
          <w:rFonts w:ascii="微软雅黑" w:hAnsi="微软雅黑" w:eastAsia="微软雅黑" w:cs="微软雅黑"/>
          <w:szCs w:val="21"/>
        </w:rPr>
      </w:pPr>
      <w:bookmarkStart w:id="3" w:name="_Toc491957313"/>
      <w:r>
        <w:rPr>
          <w:rFonts w:hint="eastAsia" w:ascii="微软雅黑" w:hAnsi="微软雅黑" w:eastAsia="微软雅黑" w:cs="微软雅黑"/>
          <w:szCs w:val="21"/>
        </w:rPr>
        <w:t>2：</w:t>
      </w:r>
      <w:bookmarkEnd w:id="3"/>
      <w:r>
        <w:rPr>
          <w:rFonts w:hint="eastAsia" w:ascii="微软雅黑" w:hAnsi="微软雅黑" w:eastAsia="微软雅黑" w:cs="微软雅黑"/>
          <w:szCs w:val="21"/>
        </w:rPr>
        <w:t>项目报名和下载文件</w:t>
      </w:r>
    </w:p>
    <w:p>
      <w:pPr>
        <w:jc w:val="left"/>
        <w:outlineLvl w:val="3"/>
      </w:pPr>
      <w:r>
        <w:rPr>
          <w:rFonts w:hint="eastAsia" w:ascii="微软雅黑" w:hAnsi="微软雅黑" w:eastAsia="微软雅黑" w:cs="微软雅黑"/>
          <w:szCs w:val="21"/>
        </w:rPr>
        <w:t>（1）进入系统后，在第一屏幕就可以看到【网上报名】模块图（2-1），点击进去点击进去找到要投标的项目点击项目后面的【我要投标】图（2-2）</w:t>
      </w:r>
    </w:p>
    <w:p>
      <w:pPr>
        <w:jc w:val="left"/>
      </w:pPr>
      <w:r>
        <w:drawing>
          <wp:inline distT="0" distB="0" distL="0" distR="0">
            <wp:extent cx="5274310" cy="2841625"/>
            <wp:effectExtent l="19050" t="0" r="254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noChangeArrowheads="1"/>
                    </pic:cNvPicPr>
                  </pic:nvPicPr>
                  <pic:blipFill>
                    <a:blip r:embed="rId14"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p>
    <w:p>
      <w:pPr>
        <w:jc w:val="center"/>
      </w:pPr>
      <w:r>
        <w:rPr>
          <w:rFonts w:hint="eastAsia"/>
        </w:rPr>
        <w:t>图（2-1）</w:t>
      </w:r>
    </w:p>
    <w:p>
      <w:pPr>
        <w:jc w:val="center"/>
      </w:pPr>
      <w:r>
        <w:drawing>
          <wp:inline distT="0" distB="0" distL="0" distR="0">
            <wp:extent cx="5274310" cy="2841625"/>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15"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图（2-2）</w:t>
      </w:r>
    </w:p>
    <w:p>
      <w:pPr>
        <w:outlineLvl w:val="3"/>
      </w:pPr>
      <w:r>
        <w:rPr>
          <w:rFonts w:hint="eastAsia" w:ascii="微软雅黑" w:hAnsi="微软雅黑" w:eastAsia="微软雅黑" w:cs="微软雅黑"/>
          <w:szCs w:val="21"/>
        </w:rPr>
        <w:t>（2）在最左侧导航栏下面找到【网上报名】网上报名，如图（2-3）</w:t>
      </w:r>
    </w:p>
    <w:p>
      <w:r>
        <w:drawing>
          <wp:inline distT="0" distB="0" distL="0" distR="0">
            <wp:extent cx="5274310" cy="2841625"/>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16"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图（2-3）</w:t>
      </w:r>
    </w:p>
    <w:p>
      <w:pPr>
        <w:outlineLvl w:val="3"/>
      </w:pPr>
      <w:r>
        <w:rPr>
          <w:rFonts w:hint="eastAsia" w:ascii="微软雅黑" w:hAnsi="微软雅黑" w:eastAsia="微软雅黑" w:cs="微软雅黑"/>
          <w:szCs w:val="21"/>
        </w:rPr>
        <w:t>（3）注意如果你想知道你到底有没有报名，请仔细看里面提示，如果没有报名在上方会有橘黄色的一段字体【</w:t>
      </w:r>
      <w:r>
        <w:rPr>
          <w:rFonts w:hint="eastAsia" w:ascii="微软雅黑" w:hAnsi="微软雅黑" w:eastAsia="微软雅黑"/>
          <w:color w:val="FF6600"/>
          <w:sz w:val="16"/>
          <w:szCs w:val="16"/>
        </w:rPr>
        <w:t>您还没有报名请报名</w:t>
      </w:r>
      <w:r>
        <w:rPr>
          <w:rFonts w:hint="eastAsia" w:ascii="微软雅黑" w:hAnsi="微软雅黑" w:eastAsia="微软雅黑" w:cs="微软雅黑"/>
          <w:szCs w:val="21"/>
        </w:rPr>
        <w:t>】在右上角显示【</w:t>
      </w:r>
      <w:r>
        <w:rPr>
          <w:rFonts w:hint="eastAsia" w:ascii="微软雅黑" w:hAnsi="微软雅黑" w:eastAsia="微软雅黑" w:cs="微软雅黑"/>
          <w:szCs w:val="21"/>
        </w:rPr>
        <w:drawing>
          <wp:inline distT="0" distB="0" distL="0" distR="0">
            <wp:extent cx="801370" cy="474345"/>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7" cstate="print"/>
                    <a:srcRect/>
                    <a:stretch>
                      <a:fillRect/>
                    </a:stretch>
                  </pic:blipFill>
                  <pic:spPr>
                    <a:xfrm>
                      <a:off x="0" y="0"/>
                      <a:ext cx="801370" cy="474345"/>
                    </a:xfrm>
                    <a:prstGeom prst="rect">
                      <a:avLst/>
                    </a:prstGeom>
                    <a:noFill/>
                    <a:ln w="9525">
                      <a:noFill/>
                      <a:miter lim="800000"/>
                      <a:headEnd/>
                      <a:tailEnd/>
                    </a:ln>
                  </pic:spPr>
                </pic:pic>
              </a:graphicData>
            </a:graphic>
          </wp:inline>
        </w:drawing>
      </w:r>
      <w:r>
        <w:rPr>
          <w:rFonts w:hint="eastAsia" w:ascii="微软雅黑" w:hAnsi="微软雅黑" w:eastAsia="微软雅黑" w:cs="微软雅黑"/>
          <w:szCs w:val="21"/>
        </w:rPr>
        <w:t>】如图（3-1）；报名信息填写界面图（3-2）；如果没有进行新增如图（3-3）（3-3）</w:t>
      </w:r>
    </w:p>
    <w:p>
      <w:r>
        <w:drawing>
          <wp:inline distT="0" distB="0" distL="0" distR="0">
            <wp:extent cx="5274310" cy="2246630"/>
            <wp:effectExtent l="19050" t="0" r="254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18" cstate="print"/>
                    <a:srcRect/>
                    <a:stretch>
                      <a:fillRect/>
                    </a:stretch>
                  </pic:blipFill>
                  <pic:spPr>
                    <a:xfrm>
                      <a:off x="0" y="0"/>
                      <a:ext cx="5274310" cy="2247033"/>
                    </a:xfrm>
                    <a:prstGeom prst="rect">
                      <a:avLst/>
                    </a:prstGeom>
                    <a:noFill/>
                    <a:ln w="9525">
                      <a:noFill/>
                      <a:miter lim="800000"/>
                      <a:headEnd/>
                      <a:tailEnd/>
                    </a:ln>
                  </pic:spPr>
                </pic:pic>
              </a:graphicData>
            </a:graphic>
          </wp:inline>
        </w:drawing>
      </w:r>
    </w:p>
    <w:p>
      <w:pPr>
        <w:jc w:val="center"/>
      </w:pPr>
      <w:r>
        <w:rPr>
          <w:rFonts w:hint="eastAsia"/>
        </w:rPr>
        <w:t>图（3-1）</w:t>
      </w:r>
    </w:p>
    <w:p>
      <w:r>
        <w:drawing>
          <wp:inline distT="0" distB="0" distL="0" distR="0">
            <wp:extent cx="5274310" cy="2841625"/>
            <wp:effectExtent l="19050" t="0" r="254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19"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图（3-2）</w:t>
      </w:r>
    </w:p>
    <w:p>
      <w:pPr>
        <w:jc w:val="center"/>
      </w:pPr>
      <w:r>
        <w:drawing>
          <wp:inline distT="0" distB="0" distL="0" distR="0">
            <wp:extent cx="5274310" cy="284162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图（3-3）</w:t>
      </w:r>
    </w:p>
    <w:p>
      <w:pPr>
        <w:outlineLvl w:val="3"/>
      </w:pPr>
      <w:r>
        <w:rPr>
          <w:rFonts w:hint="eastAsia" w:ascii="微软雅黑" w:hAnsi="微软雅黑" w:eastAsia="微软雅黑" w:cs="微软雅黑"/>
          <w:szCs w:val="21"/>
        </w:rPr>
        <w:t>（4）下载招标文件，找到【采购文件下载】如图（4-1）</w:t>
      </w:r>
    </w:p>
    <w:p>
      <w:pPr>
        <w:rPr>
          <w:rFonts w:hint="eastAsia"/>
        </w:rPr>
      </w:pPr>
      <w:r>
        <w:drawing>
          <wp:inline distT="0" distB="0" distL="0" distR="0">
            <wp:extent cx="5274310" cy="28416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r>
        <w:drawing>
          <wp:inline distT="0" distB="0" distL="0" distR="0">
            <wp:extent cx="5274310" cy="284162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pPr>
      <w:r>
        <w:rPr>
          <w:rFonts w:hint="eastAsia"/>
        </w:rPr>
        <w:t>图（4-1）</w:t>
      </w:r>
    </w:p>
    <w:p>
      <w:pPr>
        <w:outlineLvl w:val="3"/>
        <w:rPr>
          <w:rFonts w:hint="eastAsia" w:ascii="微软雅黑" w:hAnsi="微软雅黑" w:eastAsia="微软雅黑" w:cs="微软雅黑"/>
          <w:szCs w:val="21"/>
        </w:rPr>
      </w:pPr>
      <w:r>
        <w:rPr>
          <w:rFonts w:hint="eastAsia" w:ascii="微软雅黑" w:hAnsi="微软雅黑" w:eastAsia="微软雅黑" w:cs="微软雅黑"/>
          <w:szCs w:val="21"/>
        </w:rPr>
        <w:t>（5）保证金缴纳，保证金必须缴纳到系统生成的本标段账号才生效（必须用供应商在系统注册时候基本账号交款），点击</w:t>
      </w:r>
      <w:r>
        <w:rPr>
          <w:rFonts w:hint="eastAsia" w:ascii="微软雅黑" w:hAnsi="微软雅黑" w:eastAsia="微软雅黑" w:cs="微软雅黑"/>
          <w:szCs w:val="21"/>
        </w:rPr>
        <w:drawing>
          <wp:inline distT="0" distB="0" distL="0" distR="0">
            <wp:extent cx="1628775" cy="38290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cstate="print"/>
                    <a:srcRect/>
                    <a:stretch>
                      <a:fillRect/>
                    </a:stretch>
                  </pic:blipFill>
                  <pic:spPr>
                    <a:xfrm>
                      <a:off x="0" y="0"/>
                      <a:ext cx="1628775" cy="382905"/>
                    </a:xfrm>
                    <a:prstGeom prst="rect">
                      <a:avLst/>
                    </a:prstGeom>
                    <a:noFill/>
                    <a:ln w="9525">
                      <a:noFill/>
                      <a:miter lim="800000"/>
                      <a:headEnd/>
                      <a:tailEnd/>
                    </a:ln>
                  </pic:spPr>
                </pic:pic>
              </a:graphicData>
            </a:graphic>
          </wp:inline>
        </w:drawing>
      </w:r>
      <w:r>
        <w:rPr>
          <w:rFonts w:hint="eastAsia" w:ascii="微软雅黑" w:hAnsi="微软雅黑" w:eastAsia="微软雅黑" w:cs="微软雅黑"/>
          <w:szCs w:val="21"/>
        </w:rPr>
        <w:t>按钮，获取费用缴纳说明单如图</w:t>
      </w:r>
    </w:p>
    <w:p>
      <w:pPr>
        <w:outlineLvl w:val="3"/>
        <w:rPr>
          <w:rFonts w:hint="eastAsia"/>
        </w:rPr>
      </w:pPr>
      <w:r>
        <w:drawing>
          <wp:inline distT="0" distB="0" distL="0" distR="0">
            <wp:extent cx="5274310" cy="284162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outlineLvl w:val="3"/>
      </w:pPr>
      <w:r>
        <w:rPr>
          <w:rFonts w:hint="eastAsia"/>
        </w:rPr>
        <w:t>图1</w:t>
      </w:r>
    </w:p>
    <w:p>
      <w:pPr>
        <w:rPr>
          <w:rFonts w:hint="eastAsia"/>
        </w:rPr>
      </w:pPr>
      <w:r>
        <w:drawing>
          <wp:inline distT="0" distB="0" distL="0" distR="0">
            <wp:extent cx="5274310" cy="284162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rPr>
          <w:rFonts w:hint="eastAsia"/>
        </w:rPr>
      </w:pPr>
      <w:r>
        <w:rPr>
          <w:rFonts w:hint="eastAsia"/>
        </w:rPr>
        <w:t>（6）：根据上面的缴费说明单进行缴费后，（可事先在银行查询是否已经到账，确定已经转账成功）点击</w:t>
      </w:r>
      <w:r>
        <w:rPr>
          <w:rFonts w:hint="eastAsia"/>
        </w:rPr>
        <w:drawing>
          <wp:inline distT="0" distB="0" distL="0" distR="0">
            <wp:extent cx="1437005" cy="40068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srcRect/>
                    <a:stretch>
                      <a:fillRect/>
                    </a:stretch>
                  </pic:blipFill>
                  <pic:spPr>
                    <a:xfrm>
                      <a:off x="0" y="0"/>
                      <a:ext cx="1437005" cy="400685"/>
                    </a:xfrm>
                    <a:prstGeom prst="rect">
                      <a:avLst/>
                    </a:prstGeom>
                    <a:noFill/>
                    <a:ln w="9525">
                      <a:noFill/>
                      <a:miter lim="800000"/>
                      <a:headEnd/>
                      <a:tailEnd/>
                    </a:ln>
                  </pic:spPr>
                </pic:pic>
              </a:graphicData>
            </a:graphic>
          </wp:inline>
        </w:drawing>
      </w:r>
      <w:r>
        <w:rPr>
          <w:rFonts w:hint="eastAsia"/>
        </w:rPr>
        <w:t>这个必不可少的一步，在系统进行费用查询，选择“保证金”自己“账户”，选择“开始时间”“结束时间”，点击查询按钮，如图</w:t>
      </w:r>
    </w:p>
    <w:p>
      <w:pPr>
        <w:rPr>
          <w:rFonts w:hint="eastAsia"/>
        </w:rPr>
      </w:pPr>
      <w:r>
        <w:drawing>
          <wp:inline distT="0" distB="0" distL="0" distR="0">
            <wp:extent cx="5274310" cy="284162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5274310" cy="297053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8" cstate="print"/>
                    <a:srcRect/>
                    <a:stretch>
                      <a:fillRect/>
                    </a:stretch>
                  </pic:blipFill>
                  <pic:spPr>
                    <a:xfrm>
                      <a:off x="0" y="0"/>
                      <a:ext cx="5274310" cy="2970967"/>
                    </a:xfrm>
                    <a:prstGeom prst="rect">
                      <a:avLst/>
                    </a:prstGeom>
                    <a:noFill/>
                    <a:ln w="9525">
                      <a:noFill/>
                      <a:miter lim="800000"/>
                      <a:headEnd/>
                      <a:tailEnd/>
                    </a:ln>
                  </pic:spPr>
                </pic:pic>
              </a:graphicData>
            </a:graphic>
          </wp:inline>
        </w:drawing>
      </w:r>
    </w:p>
    <w:p>
      <w:pPr>
        <w:jc w:val="center"/>
        <w:rPr>
          <w:rFonts w:hint="eastAsia"/>
        </w:rPr>
      </w:pPr>
      <w:r>
        <w:rPr>
          <w:rFonts w:hint="eastAsia"/>
        </w:rPr>
        <w:t>图1</w:t>
      </w:r>
    </w:p>
    <w:p>
      <w:pPr>
        <w:rPr>
          <w:rFonts w:hint="eastAsia"/>
        </w:rPr>
      </w:pPr>
      <w:r>
        <w:rPr>
          <w:rFonts w:hint="eastAsia"/>
        </w:rPr>
        <w:t>7：绑定保证金如图，</w:t>
      </w:r>
      <w:r>
        <w:rPr>
          <w:rFonts w:hint="eastAsia"/>
          <w:color w:val="FF0000"/>
        </w:rPr>
        <w:t>绑定后显示回执单，这个回执单必须打印出来，作为开标前缴费凭证</w:t>
      </w:r>
    </w:p>
    <w:p>
      <w:pPr>
        <w:rPr>
          <w:rFonts w:hint="eastAsia"/>
        </w:rPr>
      </w:pPr>
    </w:p>
    <w:p>
      <w:pPr>
        <w:rPr>
          <w:rFonts w:hint="eastAsia"/>
        </w:rPr>
      </w:pPr>
      <w:r>
        <w:rPr>
          <w:rFonts w:hint="eastAsia"/>
        </w:rPr>
        <w:drawing>
          <wp:inline distT="0" distB="0" distL="0" distR="0">
            <wp:extent cx="5274310" cy="297053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9" cstate="print"/>
                    <a:srcRect/>
                    <a:stretch>
                      <a:fillRect/>
                    </a:stretch>
                  </pic:blipFill>
                  <pic:spPr>
                    <a:xfrm>
                      <a:off x="0" y="0"/>
                      <a:ext cx="5274310" cy="2970967"/>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5274310" cy="2399030"/>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0" cstate="print"/>
                    <a:srcRect/>
                    <a:stretch>
                      <a:fillRect/>
                    </a:stretch>
                  </pic:blipFill>
                  <pic:spPr>
                    <a:xfrm>
                      <a:off x="0" y="0"/>
                      <a:ext cx="5274310" cy="2399446"/>
                    </a:xfrm>
                    <a:prstGeom prst="rect">
                      <a:avLst/>
                    </a:prstGeom>
                    <a:noFill/>
                    <a:ln w="9525">
                      <a:noFill/>
                      <a:miter lim="800000"/>
                      <a:headEnd/>
                      <a:tailEnd/>
                    </a:ln>
                  </pic:spPr>
                </pic:pic>
              </a:graphicData>
            </a:graphic>
          </wp:inline>
        </w:drawing>
      </w:r>
    </w:p>
    <w:p>
      <w:pPr>
        <w:jc w:val="center"/>
        <w:rPr>
          <w:rFonts w:hint="eastAsia"/>
        </w:rPr>
      </w:pPr>
      <w:r>
        <w:rPr>
          <w:rFonts w:hint="eastAsia"/>
        </w:rPr>
        <w:t>图1</w:t>
      </w:r>
    </w:p>
    <w:p>
      <w:pPr>
        <w:rPr>
          <w:rFonts w:hint="eastAsia"/>
        </w:rPr>
      </w:pPr>
      <w:r>
        <w:rPr>
          <w:rFonts w:hint="eastAsia"/>
        </w:rPr>
        <w:t>7：</w:t>
      </w:r>
      <w:r>
        <w:rPr>
          <w:rFonts w:hint="eastAsia"/>
          <w:color w:val="FF0000"/>
        </w:rPr>
        <w:t>未绑定保证金申请退款如图，</w:t>
      </w:r>
      <w:r>
        <w:rPr>
          <w:rFonts w:hint="eastAsia"/>
        </w:rPr>
        <w:t xml:space="preserve"> </w:t>
      </w:r>
    </w:p>
    <w:p>
      <w:pPr>
        <w:rPr>
          <w:rFonts w:hint="eastAsia"/>
        </w:rPr>
      </w:pPr>
      <w:r>
        <w:rPr>
          <w:rFonts w:hint="eastAsia"/>
        </w:rPr>
        <w:drawing>
          <wp:inline distT="0" distB="0" distL="0" distR="0">
            <wp:extent cx="5274310" cy="284162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1"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5274310" cy="284162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2"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rPr>
          <w:rFonts w:hint="eastAsia"/>
        </w:rPr>
      </w:pPr>
      <w:r>
        <w:rPr>
          <w:rFonts w:hint="eastAsia"/>
        </w:rPr>
        <w:t>图1</w:t>
      </w:r>
    </w:p>
    <w:p>
      <w:r>
        <w:t>申请成功后状态显示待审核</w:t>
      </w:r>
    </w:p>
    <w:p>
      <w:pPr>
        <w:rPr>
          <w:rFonts w:hint="eastAsia"/>
        </w:rPr>
      </w:pPr>
      <w:r>
        <w:rPr>
          <w:rFonts w:hint="eastAsia"/>
        </w:rPr>
        <w:drawing>
          <wp:inline distT="0" distB="0" distL="0" distR="0">
            <wp:extent cx="5274310" cy="284162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3" cstate="print"/>
                    <a:srcRect/>
                    <a:stretch>
                      <a:fillRect/>
                    </a:stretch>
                  </pic:blipFill>
                  <pic:spPr>
                    <a:xfrm>
                      <a:off x="0" y="0"/>
                      <a:ext cx="5274310" cy="2841934"/>
                    </a:xfrm>
                    <a:prstGeom prst="rect">
                      <a:avLst/>
                    </a:prstGeom>
                    <a:noFill/>
                    <a:ln w="9525">
                      <a:noFill/>
                      <a:miter lim="800000"/>
                      <a:headEnd/>
                      <a:tailEnd/>
                    </a:ln>
                  </pic:spPr>
                </pic:pic>
              </a:graphicData>
            </a:graphic>
          </wp:inline>
        </w:drawing>
      </w:r>
    </w:p>
    <w:p>
      <w:pPr>
        <w:jc w:val="center"/>
        <w:rPr>
          <w:rFonts w:hint="eastAsia"/>
        </w:rPr>
      </w:pPr>
      <w:r>
        <w:rPr>
          <w:rFonts w:hint="eastAsia"/>
        </w:rPr>
        <w:t>图2</w:t>
      </w:r>
    </w:p>
    <w:p>
      <w:pPr>
        <w:rPr>
          <w:rFonts w:hint="eastAsia"/>
        </w:rPr>
      </w:pPr>
      <w:r>
        <w:rPr>
          <w:rFonts w:hint="eastAsia"/>
        </w:rPr>
        <w:t>等待中心审核完毕即可</w:t>
      </w:r>
    </w:p>
    <w:p>
      <w:pPr>
        <w:rPr>
          <w:rFonts w:hint="eastAsia"/>
        </w:rPr>
      </w:pPr>
    </w:p>
    <w:p>
      <w:pPr>
        <w:rPr>
          <w:rFonts w:hint="eastAsia"/>
        </w:rPr>
      </w:pPr>
    </w:p>
    <w:p>
      <w:r>
        <w:rPr>
          <w:rFonts w:hint="eastAsia"/>
        </w:rPr>
        <w:t>注意：已经绑定保证金的需要等待中心在项目结束后统一发起退款退还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6" o:spid="_x0000_s1026" o:spt="202" type="#_x0000_t202" style="position:absolute;left:0pt;margin-top:0pt;height:144pt;width:82.55pt;mso-position-horizontal:center;mso-position-horizontal-relative:margin;z-index:251658240;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15</w:t>
                </w:r>
                <w:r>
                  <w:rPr>
                    <w:sz w:val="18"/>
                  </w:rPr>
                  <w:fldChar w:fldCharType="end"/>
                </w:r>
                <w:r>
                  <w:rPr>
                    <w:rFonts w:hint="eastAsia"/>
                    <w:sz w:val="18"/>
                  </w:rPr>
                  <w:t xml:space="preserve"> 页</w:t>
                </w:r>
              </w:p>
            </w:txbxContent>
          </v:textbox>
        </v:shape>
      </w:pict>
    </w:r>
    <w:r>
      <w:rPr>
        <w:rFonts w:hint="eastAsia" w:ascii="华文新魏" w:hAnsi="华文新魏" w:eastAsia="华文新魏" w:cs="华文新魏"/>
      </w:rPr>
      <w:t>郑州信源信息技术股份有限公司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新魏" w:hAnsi="华文新魏" w:eastAsia="华文新魏" w:cs="华文新魏"/>
      </w:rPr>
    </w:pPr>
  </w:p>
  <w:p>
    <w:pPr>
      <w:pStyle w:val="6"/>
      <w:jc w:val="left"/>
      <w:rPr>
        <w:rFonts w:ascii="华文新魏" w:hAnsi="华文新魏" w:eastAsia="华文新魏" w:cs="华文新魏"/>
      </w:rPr>
    </w:pPr>
    <w:r>
      <w:drawing>
        <wp:inline distT="0" distB="0" distL="114300" distR="114300">
          <wp:extent cx="1025525" cy="146685"/>
          <wp:effectExtent l="0" t="0" r="3175" b="5715"/>
          <wp:docPr id="26" name="图片 2"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信源标志确认稿签字"/>
                  <pic:cNvPicPr>
                    <a:picLocks noChangeAspect="1"/>
                  </pic:cNvPicPr>
                </pic:nvPicPr>
                <pic:blipFill>
                  <a:blip r:embed="rId1"/>
                  <a:stretch>
                    <a:fillRect/>
                  </a:stretch>
                </pic:blipFill>
                <pic:spPr>
                  <a:xfrm>
                    <a:off x="0" y="0"/>
                    <a:ext cx="1025525" cy="146685"/>
                  </a:xfrm>
                  <a:prstGeom prst="rect">
                    <a:avLst/>
                  </a:prstGeom>
                  <a:noFill/>
                  <a:ln w="9525">
                    <a:noFill/>
                  </a:ln>
                </pic:spPr>
              </pic:pic>
            </a:graphicData>
          </a:graphic>
        </wp:inline>
      </w:drawing>
    </w:r>
    <w:r>
      <w:rPr>
        <w:rFonts w:hint="eastAsia"/>
        <w:b/>
        <w:szCs w:val="18"/>
      </w:rPr>
      <w:t xml:space="preserve">                                                 公共资源交易系统操作手册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9224AB7"/>
    <w:rsid w:val="0000323B"/>
    <w:rsid w:val="00016D04"/>
    <w:rsid w:val="00053960"/>
    <w:rsid w:val="0006034E"/>
    <w:rsid w:val="000803AB"/>
    <w:rsid w:val="00083BCB"/>
    <w:rsid w:val="000A17BD"/>
    <w:rsid w:val="00123691"/>
    <w:rsid w:val="00147A92"/>
    <w:rsid w:val="00155366"/>
    <w:rsid w:val="001655D4"/>
    <w:rsid w:val="00165E96"/>
    <w:rsid w:val="00193A66"/>
    <w:rsid w:val="001A2351"/>
    <w:rsid w:val="001D3F1F"/>
    <w:rsid w:val="001F3D63"/>
    <w:rsid w:val="00207829"/>
    <w:rsid w:val="002243AE"/>
    <w:rsid w:val="00236DF0"/>
    <w:rsid w:val="00237BD5"/>
    <w:rsid w:val="00245481"/>
    <w:rsid w:val="00252AA4"/>
    <w:rsid w:val="00263290"/>
    <w:rsid w:val="00276185"/>
    <w:rsid w:val="002933D7"/>
    <w:rsid w:val="002C3B86"/>
    <w:rsid w:val="00315112"/>
    <w:rsid w:val="003174A0"/>
    <w:rsid w:val="0033285B"/>
    <w:rsid w:val="003377CF"/>
    <w:rsid w:val="0034643B"/>
    <w:rsid w:val="00347184"/>
    <w:rsid w:val="00352CEB"/>
    <w:rsid w:val="00361861"/>
    <w:rsid w:val="00361A3D"/>
    <w:rsid w:val="00361F24"/>
    <w:rsid w:val="00373C68"/>
    <w:rsid w:val="00376421"/>
    <w:rsid w:val="00387A1B"/>
    <w:rsid w:val="003E1BA0"/>
    <w:rsid w:val="003F03FA"/>
    <w:rsid w:val="00411C8A"/>
    <w:rsid w:val="0041327A"/>
    <w:rsid w:val="0044257D"/>
    <w:rsid w:val="00487FE0"/>
    <w:rsid w:val="004E48EE"/>
    <w:rsid w:val="004F08C8"/>
    <w:rsid w:val="004F4613"/>
    <w:rsid w:val="00525677"/>
    <w:rsid w:val="00550F68"/>
    <w:rsid w:val="005D531A"/>
    <w:rsid w:val="005D7CF6"/>
    <w:rsid w:val="005E1956"/>
    <w:rsid w:val="00613318"/>
    <w:rsid w:val="00664D99"/>
    <w:rsid w:val="00665558"/>
    <w:rsid w:val="0066591D"/>
    <w:rsid w:val="00665B7B"/>
    <w:rsid w:val="00677601"/>
    <w:rsid w:val="00692F12"/>
    <w:rsid w:val="006C4382"/>
    <w:rsid w:val="006F38E0"/>
    <w:rsid w:val="00716703"/>
    <w:rsid w:val="00742F8C"/>
    <w:rsid w:val="00750A89"/>
    <w:rsid w:val="007A385E"/>
    <w:rsid w:val="007A4A0C"/>
    <w:rsid w:val="007D3564"/>
    <w:rsid w:val="0084286B"/>
    <w:rsid w:val="008539DF"/>
    <w:rsid w:val="00860AC8"/>
    <w:rsid w:val="0088704B"/>
    <w:rsid w:val="0089686B"/>
    <w:rsid w:val="008A0EAA"/>
    <w:rsid w:val="008A4D39"/>
    <w:rsid w:val="008C1D12"/>
    <w:rsid w:val="008C3225"/>
    <w:rsid w:val="008E462A"/>
    <w:rsid w:val="008F13EA"/>
    <w:rsid w:val="008F7F46"/>
    <w:rsid w:val="00901B8D"/>
    <w:rsid w:val="00904788"/>
    <w:rsid w:val="00904887"/>
    <w:rsid w:val="00913FD5"/>
    <w:rsid w:val="00951F4F"/>
    <w:rsid w:val="00957F54"/>
    <w:rsid w:val="00972C38"/>
    <w:rsid w:val="009749DD"/>
    <w:rsid w:val="00982D2B"/>
    <w:rsid w:val="00994C81"/>
    <w:rsid w:val="009D0F43"/>
    <w:rsid w:val="00A11945"/>
    <w:rsid w:val="00A163AB"/>
    <w:rsid w:val="00A24C02"/>
    <w:rsid w:val="00A4270B"/>
    <w:rsid w:val="00A47A1F"/>
    <w:rsid w:val="00A66C75"/>
    <w:rsid w:val="00A87372"/>
    <w:rsid w:val="00AA56F6"/>
    <w:rsid w:val="00AE0D37"/>
    <w:rsid w:val="00AF5F88"/>
    <w:rsid w:val="00AF7C3E"/>
    <w:rsid w:val="00B158E1"/>
    <w:rsid w:val="00B72BDE"/>
    <w:rsid w:val="00B72F0B"/>
    <w:rsid w:val="00B92D20"/>
    <w:rsid w:val="00B93CBE"/>
    <w:rsid w:val="00BA2E94"/>
    <w:rsid w:val="00BA4543"/>
    <w:rsid w:val="00BC079B"/>
    <w:rsid w:val="00BC0FE9"/>
    <w:rsid w:val="00BD4655"/>
    <w:rsid w:val="00C05FAF"/>
    <w:rsid w:val="00C12111"/>
    <w:rsid w:val="00C206B7"/>
    <w:rsid w:val="00C47673"/>
    <w:rsid w:val="00C54E3A"/>
    <w:rsid w:val="00CC1060"/>
    <w:rsid w:val="00CD239A"/>
    <w:rsid w:val="00CE7E0B"/>
    <w:rsid w:val="00CF0C85"/>
    <w:rsid w:val="00D16307"/>
    <w:rsid w:val="00D33D20"/>
    <w:rsid w:val="00D55A85"/>
    <w:rsid w:val="00D63F0F"/>
    <w:rsid w:val="00D67E33"/>
    <w:rsid w:val="00D742AC"/>
    <w:rsid w:val="00DA5233"/>
    <w:rsid w:val="00DF3801"/>
    <w:rsid w:val="00E04D4E"/>
    <w:rsid w:val="00E06BEB"/>
    <w:rsid w:val="00E555AC"/>
    <w:rsid w:val="00E57015"/>
    <w:rsid w:val="00EC3791"/>
    <w:rsid w:val="00F322AA"/>
    <w:rsid w:val="00F577AE"/>
    <w:rsid w:val="00F82CE5"/>
    <w:rsid w:val="0203111E"/>
    <w:rsid w:val="022E7A74"/>
    <w:rsid w:val="04511548"/>
    <w:rsid w:val="04BD4E9A"/>
    <w:rsid w:val="05D450AF"/>
    <w:rsid w:val="06B81704"/>
    <w:rsid w:val="07BD04E6"/>
    <w:rsid w:val="084B3765"/>
    <w:rsid w:val="0CAB7827"/>
    <w:rsid w:val="0CBA0B12"/>
    <w:rsid w:val="0ED06D94"/>
    <w:rsid w:val="103C05EA"/>
    <w:rsid w:val="10BD3866"/>
    <w:rsid w:val="10CB67CF"/>
    <w:rsid w:val="110C0709"/>
    <w:rsid w:val="11197F8C"/>
    <w:rsid w:val="11311E0E"/>
    <w:rsid w:val="115B0666"/>
    <w:rsid w:val="151B7844"/>
    <w:rsid w:val="157C5D0F"/>
    <w:rsid w:val="15DD2172"/>
    <w:rsid w:val="197A79BD"/>
    <w:rsid w:val="1A7E39B2"/>
    <w:rsid w:val="1CEE6260"/>
    <w:rsid w:val="1E2B0AED"/>
    <w:rsid w:val="20032EB6"/>
    <w:rsid w:val="23604BFA"/>
    <w:rsid w:val="23A84F18"/>
    <w:rsid w:val="23A86B25"/>
    <w:rsid w:val="24164BFA"/>
    <w:rsid w:val="26894E20"/>
    <w:rsid w:val="277B6B0E"/>
    <w:rsid w:val="277D57A7"/>
    <w:rsid w:val="29CB1C4B"/>
    <w:rsid w:val="2A412C0F"/>
    <w:rsid w:val="2C7E7157"/>
    <w:rsid w:val="2DEF5E14"/>
    <w:rsid w:val="2F225ED1"/>
    <w:rsid w:val="2F5D74DE"/>
    <w:rsid w:val="30741674"/>
    <w:rsid w:val="32764E47"/>
    <w:rsid w:val="33ED057D"/>
    <w:rsid w:val="35632794"/>
    <w:rsid w:val="35AB5A96"/>
    <w:rsid w:val="37F23503"/>
    <w:rsid w:val="3A1F4307"/>
    <w:rsid w:val="3B7B2BC0"/>
    <w:rsid w:val="3BEB61C8"/>
    <w:rsid w:val="3E4C4509"/>
    <w:rsid w:val="3EB5320E"/>
    <w:rsid w:val="3FC33BD5"/>
    <w:rsid w:val="407F5C75"/>
    <w:rsid w:val="422965A4"/>
    <w:rsid w:val="426352BA"/>
    <w:rsid w:val="43C8025A"/>
    <w:rsid w:val="45D42AC2"/>
    <w:rsid w:val="45E65AC6"/>
    <w:rsid w:val="46760989"/>
    <w:rsid w:val="46B16297"/>
    <w:rsid w:val="472655BE"/>
    <w:rsid w:val="4C3365F9"/>
    <w:rsid w:val="4C533B00"/>
    <w:rsid w:val="4C673E01"/>
    <w:rsid w:val="4DE75EF6"/>
    <w:rsid w:val="4FA1764F"/>
    <w:rsid w:val="52FB3B11"/>
    <w:rsid w:val="539B323D"/>
    <w:rsid w:val="53E85D7C"/>
    <w:rsid w:val="56661229"/>
    <w:rsid w:val="5ECD6C51"/>
    <w:rsid w:val="5ECE040E"/>
    <w:rsid w:val="616B28F1"/>
    <w:rsid w:val="64D30C74"/>
    <w:rsid w:val="65A815BA"/>
    <w:rsid w:val="664028C9"/>
    <w:rsid w:val="69224AB7"/>
    <w:rsid w:val="6A6D5D4F"/>
    <w:rsid w:val="6AF627CF"/>
    <w:rsid w:val="6D95341F"/>
    <w:rsid w:val="6E79491B"/>
    <w:rsid w:val="7165250E"/>
    <w:rsid w:val="746F2E4C"/>
    <w:rsid w:val="7483511F"/>
    <w:rsid w:val="74F77E75"/>
    <w:rsid w:val="74FA0EF6"/>
    <w:rsid w:val="761825FC"/>
    <w:rsid w:val="76F30A09"/>
    <w:rsid w:val="78EC2DF9"/>
    <w:rsid w:val="7AE17C9F"/>
    <w:rsid w:val="7BDC5500"/>
    <w:rsid w:val="7CBC106E"/>
    <w:rsid w:val="7DBC13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Document Map"/>
    <w:basedOn w:val="1"/>
    <w:link w:val="13"/>
    <w:qFormat/>
    <w:uiPriority w:val="0"/>
    <w:rPr>
      <w:rFonts w:ascii="宋体" w:eastAsia="宋体"/>
      <w:sz w:val="18"/>
      <w:szCs w:val="18"/>
    </w:rPr>
  </w:style>
  <w:style w:type="paragraph" w:styleId="3">
    <w:name w:val="toc 3"/>
    <w:basedOn w:val="1"/>
    <w:next w:val="1"/>
    <w:qFormat/>
    <w:uiPriority w:val="39"/>
    <w:pPr>
      <w:ind w:left="840" w:leftChars="400"/>
    </w:p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iPriority w:val="39"/>
  </w:style>
  <w:style w:type="paragraph" w:styleId="8">
    <w:name w:val="toc 2"/>
    <w:basedOn w:val="1"/>
    <w:next w:val="1"/>
    <w:qFormat/>
    <w:uiPriority w:val="39"/>
    <w:pPr>
      <w:ind w:left="420" w:leftChars="200"/>
    </w:pPr>
  </w:style>
  <w:style w:type="character" w:styleId="10">
    <w:name w:val="Hyperlink"/>
    <w:basedOn w:val="9"/>
    <w:unhideWhenUsed/>
    <w:uiPriority w:val="99"/>
    <w:rPr>
      <w:color w:val="0563C1" w:themeColor="hyperlink"/>
      <w:u w:val="single"/>
    </w:rPr>
  </w:style>
  <w:style w:type="character" w:customStyle="1" w:styleId="12">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13">
    <w:name w:val="文档结构图 Char"/>
    <w:basedOn w:val="9"/>
    <w:link w:val="2"/>
    <w:qFormat/>
    <w:uiPriority w:val="0"/>
    <w:rPr>
      <w:rFonts w:ascii="宋体" w:hAnsiTheme="minorHAnsi" w:cstheme="minorBidi"/>
      <w:kern w:val="2"/>
      <w:sz w:val="18"/>
      <w:szCs w:val="18"/>
    </w:rPr>
  </w:style>
  <w:style w:type="paragraph" w:customStyle="1" w:styleId="14">
    <w:name w:val="_Style 2"/>
    <w:basedOn w:val="1"/>
    <w:qFormat/>
    <w:uiPriority w:val="1"/>
    <w:rPr>
      <w:sz w:val="20"/>
    </w:rPr>
  </w:style>
  <w:style w:type="paragraph" w:customStyle="1"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245</Words>
  <Characters>1402</Characters>
  <Lines>11</Lines>
  <Paragraphs>3</Paragraphs>
  <TotalTime>0</TotalTime>
  <ScaleCrop>false</ScaleCrop>
  <LinksUpToDate>false</LinksUpToDate>
  <CharactersWithSpaces>1644</CharactersWithSpaces>
  <Application>WPS Office_10.1.0.6750_F1E327BC-269C-435d-A152-05C5408002CA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2017-04-17T10:41:00Z</dcterms:created>
  <dc:creator>许昌市公共资源交易中心:罗国惠</dc:creator>
  <cp:lastModifiedBy>Administrator</cp:lastModifiedBy>
  <dcterms:modified xsi:type="dcterms:W3CDTF">2017-09-22T07:59:56Z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